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4DAB7F5A" w:rsidR="00084C53" w:rsidRDefault="00FE7BC2" w:rsidP="00FE7BC2">
      <w:pPr>
        <w:pStyle w:val="a"/>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BF110B">
        <w:rPr>
          <w:spacing w:val="0"/>
          <w:sz w:val="24"/>
          <w:szCs w:val="28"/>
        </w:rPr>
        <w:t>3</w:t>
      </w:r>
    </w:p>
    <w:p w14:paraId="004AC443" w14:textId="6DC49040" w:rsidR="00084C53" w:rsidRDefault="006D49C0" w:rsidP="00281E94">
      <w:pPr>
        <w:pStyle w:val="a"/>
        <w:ind w:left="7140" w:hangingChars="3400" w:hanging="7140"/>
        <w:jc w:val="right"/>
        <w:rPr>
          <w:spacing w:val="0"/>
          <w:sz w:val="21"/>
          <w:szCs w:val="21"/>
        </w:rPr>
      </w:pPr>
      <w:r w:rsidRPr="00B67B27">
        <w:rPr>
          <w:rFonts w:hint="eastAsia"/>
          <w:spacing w:val="0"/>
          <w:sz w:val="21"/>
          <w:szCs w:val="21"/>
        </w:rPr>
        <w:t>202</w:t>
      </w:r>
      <w:r w:rsidR="005A60F7" w:rsidRPr="00B67B27">
        <w:rPr>
          <w:spacing w:val="0"/>
          <w:sz w:val="21"/>
          <w:szCs w:val="21"/>
        </w:rPr>
        <w:t>4</w:t>
      </w:r>
      <w:r w:rsidR="00636A92" w:rsidRPr="00B67B27">
        <w:rPr>
          <w:rFonts w:hint="eastAsia"/>
          <w:spacing w:val="0"/>
          <w:sz w:val="21"/>
          <w:szCs w:val="21"/>
        </w:rPr>
        <w:t>/</w:t>
      </w:r>
      <w:r w:rsidR="0091464F" w:rsidRPr="00B67B27">
        <w:rPr>
          <w:spacing w:val="0"/>
          <w:sz w:val="21"/>
          <w:szCs w:val="21"/>
        </w:rPr>
        <w:t>0</w:t>
      </w:r>
      <w:r w:rsidR="005A60F7" w:rsidRPr="00B67B27">
        <w:rPr>
          <w:spacing w:val="0"/>
          <w:sz w:val="21"/>
          <w:szCs w:val="21"/>
        </w:rPr>
        <w:t>5</w:t>
      </w:r>
      <w:r w:rsidR="00636A92" w:rsidRPr="00B67B27">
        <w:rPr>
          <w:spacing w:val="0"/>
          <w:sz w:val="21"/>
          <w:szCs w:val="21"/>
        </w:rPr>
        <w:t>/</w:t>
      </w:r>
      <w:r w:rsidR="0091464F" w:rsidRPr="00B67B27">
        <w:rPr>
          <w:spacing w:val="0"/>
          <w:sz w:val="21"/>
          <w:szCs w:val="21"/>
        </w:rPr>
        <w:t>28</w:t>
      </w:r>
    </w:p>
    <w:tbl>
      <w:tblPr>
        <w:tblW w:w="9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660"/>
      </w:tblGrid>
      <w:tr w:rsidR="005927ED" w:rsidRPr="00BF110B" w14:paraId="108301A6" w14:textId="77777777" w:rsidTr="005D3D86">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491" w:type="dxa"/>
            <w:gridSpan w:val="3"/>
            <w:tcBorders>
              <w:left w:val="single" w:sz="4" w:space="0" w:color="000000"/>
              <w:bottom w:val="dashSmallGap" w:sz="4" w:space="0" w:color="000000"/>
              <w:right w:val="single" w:sz="12" w:space="0" w:color="auto"/>
            </w:tcBorders>
          </w:tcPr>
          <w:p w14:paraId="346136E0" w14:textId="04A8D185" w:rsidR="005927ED" w:rsidRPr="00F7698C" w:rsidRDefault="000E1D47" w:rsidP="005A04CE">
            <w:pPr>
              <w:rPr>
                <w:rFonts w:ascii="MS PMincho" w:eastAsia="MS PMincho" w:hAnsi="MS PMincho"/>
                <w:sz w:val="22"/>
                <w:szCs w:val="22"/>
                <w:lang w:val="es-CR"/>
              </w:rPr>
            </w:pPr>
            <w:r w:rsidRPr="00F7698C">
              <w:rPr>
                <w:rFonts w:ascii="MS PMincho" w:eastAsia="MS PMincho" w:hAnsi="MS PMincho"/>
                <w:sz w:val="22"/>
                <w:szCs w:val="22"/>
                <w:lang w:val="es-CR"/>
              </w:rPr>
              <w:t>Instituto Tecnológico de Costa R</w:t>
            </w:r>
            <w:r>
              <w:rPr>
                <w:rFonts w:ascii="MS PMincho" w:eastAsia="MS PMincho" w:hAnsi="MS PMincho"/>
                <w:sz w:val="22"/>
                <w:szCs w:val="22"/>
                <w:lang w:val="es-CR"/>
              </w:rPr>
              <w:t>ica</w:t>
            </w:r>
          </w:p>
        </w:tc>
      </w:tr>
      <w:tr w:rsidR="005927ED" w:rsidRPr="00E11E3A" w14:paraId="616460AC" w14:textId="77777777" w:rsidTr="005D3D86">
        <w:trPr>
          <w:trHeight w:val="142"/>
          <w:jc w:val="center"/>
        </w:trPr>
        <w:tc>
          <w:tcPr>
            <w:tcW w:w="2260" w:type="dxa"/>
            <w:gridSpan w:val="2"/>
            <w:vMerge/>
            <w:tcBorders>
              <w:right w:val="single" w:sz="4" w:space="0" w:color="auto"/>
            </w:tcBorders>
            <w:vAlign w:val="center"/>
          </w:tcPr>
          <w:p w14:paraId="13E5FAD8" w14:textId="77777777" w:rsidR="005927ED" w:rsidRPr="00F7698C" w:rsidRDefault="005927ED" w:rsidP="005A04CE">
            <w:pPr>
              <w:jc w:val="left"/>
              <w:rPr>
                <w:rFonts w:ascii="MS PMincho" w:eastAsia="MS PMincho" w:hAnsi="MS PMincho"/>
                <w:sz w:val="22"/>
                <w:szCs w:val="22"/>
                <w:lang w:val="es-CR"/>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491" w:type="dxa"/>
            <w:gridSpan w:val="3"/>
            <w:tcBorders>
              <w:top w:val="dashSmallGap" w:sz="4" w:space="0" w:color="000000"/>
              <w:left w:val="single" w:sz="4" w:space="0" w:color="000000"/>
              <w:bottom w:val="dashSmallGap" w:sz="4" w:space="0" w:color="000000"/>
              <w:right w:val="single" w:sz="12" w:space="0" w:color="auto"/>
            </w:tcBorders>
          </w:tcPr>
          <w:p w14:paraId="1DD722F2" w14:textId="45F0DDFF" w:rsidR="005927ED" w:rsidRPr="00636A92" w:rsidRDefault="000E1D47" w:rsidP="00717A6B">
            <w:pPr>
              <w:rPr>
                <w:rFonts w:ascii="MS PMincho" w:eastAsia="MS PMincho" w:hAnsi="MS PMincho"/>
                <w:sz w:val="22"/>
                <w:szCs w:val="22"/>
              </w:rPr>
            </w:pPr>
            <w:r>
              <w:rPr>
                <w:rFonts w:ascii="MS PMincho" w:eastAsia="MS PMincho" w:hAnsi="MS PMincho"/>
                <w:sz w:val="22"/>
                <w:szCs w:val="22"/>
              </w:rPr>
              <w:t>Ass</w:t>
            </w:r>
            <w:r w:rsidR="00BF110B">
              <w:rPr>
                <w:rFonts w:ascii="MS PMincho" w:eastAsia="MS PMincho" w:hAnsi="MS PMincho"/>
                <w:sz w:val="22"/>
                <w:szCs w:val="22"/>
              </w:rPr>
              <w:t>ociate</w:t>
            </w:r>
            <w:r>
              <w:rPr>
                <w:rFonts w:ascii="MS PMincho" w:eastAsia="MS PMincho" w:hAnsi="MS PMincho"/>
                <w:sz w:val="22"/>
                <w:szCs w:val="22"/>
              </w:rPr>
              <w:t xml:space="preserve"> </w:t>
            </w:r>
            <w:r w:rsidR="00717A6B">
              <w:rPr>
                <w:rFonts w:ascii="MS PMincho" w:eastAsia="MS PMincho" w:hAnsi="MS PMincho"/>
                <w:sz w:val="22"/>
                <w:szCs w:val="22"/>
              </w:rPr>
              <w:t>P</w:t>
            </w:r>
            <w:r>
              <w:rPr>
                <w:rFonts w:ascii="MS PMincho" w:eastAsia="MS PMincho" w:hAnsi="MS PMincho"/>
                <w:sz w:val="22"/>
                <w:szCs w:val="22"/>
              </w:rPr>
              <w:t>rofessor</w:t>
            </w:r>
          </w:p>
        </w:tc>
      </w:tr>
      <w:tr w:rsidR="005927ED" w:rsidRPr="00E11E3A" w14:paraId="5DBBA147" w14:textId="77777777" w:rsidTr="005D3D86">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491" w:type="dxa"/>
            <w:gridSpan w:val="3"/>
            <w:tcBorders>
              <w:top w:val="dashSmallGap" w:sz="4" w:space="0" w:color="000000"/>
              <w:left w:val="single" w:sz="4" w:space="0" w:color="000000"/>
              <w:bottom w:val="single" w:sz="4" w:space="0" w:color="auto"/>
              <w:right w:val="single" w:sz="12" w:space="0" w:color="auto"/>
            </w:tcBorders>
          </w:tcPr>
          <w:p w14:paraId="20F1223F" w14:textId="15A70FBB" w:rsidR="005927ED" w:rsidRPr="00636A92" w:rsidRDefault="000E1D47" w:rsidP="005A04CE">
            <w:pPr>
              <w:rPr>
                <w:rFonts w:ascii="MS PMincho" w:eastAsia="MS PMincho" w:hAnsi="MS PMincho"/>
                <w:sz w:val="22"/>
                <w:szCs w:val="22"/>
              </w:rPr>
            </w:pPr>
            <w:r>
              <w:rPr>
                <w:rFonts w:ascii="MS PMincho" w:eastAsia="MS PMincho" w:hAnsi="MS PMincho"/>
                <w:sz w:val="22"/>
                <w:szCs w:val="22"/>
              </w:rPr>
              <w:t>Jorge M. Cubero-Sesin</w:t>
            </w:r>
          </w:p>
        </w:tc>
      </w:tr>
      <w:tr w:rsidR="00FE7BC2" w:rsidRPr="0091464F" w14:paraId="00F53EAD" w14:textId="77777777" w:rsidTr="005D3D86">
        <w:trPr>
          <w:trHeight w:val="143"/>
          <w:jc w:val="center"/>
        </w:trPr>
        <w:tc>
          <w:tcPr>
            <w:tcW w:w="2260" w:type="dxa"/>
            <w:gridSpan w:val="2"/>
            <w:vMerge w:val="restart"/>
            <w:tcBorders>
              <w:top w:val="single" w:sz="4" w:space="0" w:color="auto"/>
              <w:right w:val="single" w:sz="4" w:space="0" w:color="auto"/>
            </w:tcBorders>
            <w:vAlign w:val="center"/>
          </w:tcPr>
          <w:p w14:paraId="2305DCBC" w14:textId="2324DF1D"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w:t>
            </w:r>
            <w:r w:rsidR="00EA110F">
              <w:rPr>
                <w:rFonts w:ascii="MS PMincho" w:eastAsia="MS PMincho" w:hAnsi="MS PMincho"/>
                <w:sz w:val="22"/>
                <w:szCs w:val="22"/>
              </w:rPr>
              <w:t>s</w:t>
            </w:r>
            <w:r w:rsidRPr="00636A92">
              <w:rPr>
                <w:rFonts w:ascii="MS PMincho" w:eastAsia="MS PMincho" w:hAnsi="MS PMincho"/>
                <w:sz w:val="22"/>
                <w:szCs w:val="22"/>
              </w:rPr>
              <w:t xml:space="preserve">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491" w:type="dxa"/>
            <w:gridSpan w:val="3"/>
            <w:tcBorders>
              <w:top w:val="single" w:sz="4" w:space="0" w:color="auto"/>
              <w:left w:val="single" w:sz="4" w:space="0" w:color="000000"/>
              <w:bottom w:val="dashSmallGap" w:sz="4" w:space="0" w:color="000000"/>
              <w:right w:val="single" w:sz="12" w:space="0" w:color="auto"/>
            </w:tcBorders>
          </w:tcPr>
          <w:p w14:paraId="32F1CA93" w14:textId="33DF63A2" w:rsidR="00FE7BC2" w:rsidRPr="0091464F" w:rsidRDefault="00C275B4" w:rsidP="00C275B4">
            <w:pPr>
              <w:rPr>
                <w:rFonts w:ascii="MS PMincho" w:eastAsia="MS PMincho" w:hAnsi="MS PMincho"/>
                <w:sz w:val="22"/>
                <w:szCs w:val="22"/>
                <w:lang w:val="es-CR"/>
              </w:rPr>
            </w:pPr>
            <w:r>
              <w:rPr>
                <w:rFonts w:ascii="MS PMincho" w:eastAsia="MS PMincho" w:hAnsi="MS PMincho"/>
                <w:sz w:val="22"/>
                <w:szCs w:val="22"/>
                <w:lang w:val="es-CR"/>
              </w:rPr>
              <w:t xml:space="preserve">MRC, </w:t>
            </w:r>
            <w:r w:rsidR="00717A6B">
              <w:rPr>
                <w:rFonts w:ascii="MS PMincho" w:eastAsia="MS PMincho" w:hAnsi="MS PMincho"/>
                <w:sz w:val="22"/>
                <w:szCs w:val="22"/>
                <w:lang w:val="es-CR"/>
              </w:rPr>
              <w:t>Kumamoto University</w:t>
            </w:r>
          </w:p>
        </w:tc>
      </w:tr>
      <w:tr w:rsidR="00FE7BC2" w:rsidRPr="00E11E3A" w14:paraId="2FEDC074" w14:textId="77777777" w:rsidTr="005D3D86">
        <w:trPr>
          <w:trHeight w:val="142"/>
          <w:jc w:val="center"/>
        </w:trPr>
        <w:tc>
          <w:tcPr>
            <w:tcW w:w="2260" w:type="dxa"/>
            <w:gridSpan w:val="2"/>
            <w:vMerge/>
            <w:tcBorders>
              <w:right w:val="single" w:sz="4" w:space="0" w:color="auto"/>
            </w:tcBorders>
            <w:vAlign w:val="center"/>
          </w:tcPr>
          <w:p w14:paraId="76F9342A" w14:textId="77777777" w:rsidR="00FE7BC2" w:rsidRPr="0091464F" w:rsidRDefault="00FE7BC2" w:rsidP="005A04CE">
            <w:pPr>
              <w:ind w:left="220" w:hangingChars="100" w:hanging="220"/>
              <w:jc w:val="left"/>
              <w:rPr>
                <w:rFonts w:ascii="MS PMincho" w:eastAsia="MS PMincho" w:hAnsi="MS PMincho"/>
                <w:sz w:val="22"/>
                <w:szCs w:val="22"/>
                <w:lang w:val="es-CR"/>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491" w:type="dxa"/>
            <w:gridSpan w:val="3"/>
            <w:tcBorders>
              <w:top w:val="dashSmallGap" w:sz="4" w:space="0" w:color="000000"/>
              <w:left w:val="single" w:sz="4" w:space="0" w:color="000000"/>
              <w:bottom w:val="dashSmallGap" w:sz="4" w:space="0" w:color="000000"/>
              <w:right w:val="single" w:sz="12" w:space="0" w:color="auto"/>
            </w:tcBorders>
          </w:tcPr>
          <w:p w14:paraId="7E481F82" w14:textId="1B7F10B9" w:rsidR="00FE7BC2" w:rsidRPr="00636A92" w:rsidRDefault="00717A6B" w:rsidP="005A04CE">
            <w:pPr>
              <w:rPr>
                <w:rFonts w:ascii="MS PMincho" w:eastAsia="MS PMincho" w:hAnsi="MS PMincho"/>
                <w:sz w:val="22"/>
                <w:szCs w:val="22"/>
              </w:rPr>
            </w:pPr>
            <w:r>
              <w:rPr>
                <w:rFonts w:ascii="MS PMincho" w:eastAsia="MS PMincho" w:hAnsi="MS PMincho"/>
                <w:sz w:val="22"/>
                <w:szCs w:val="22"/>
              </w:rPr>
              <w:t>P</w:t>
            </w:r>
            <w:r w:rsidR="0091464F">
              <w:rPr>
                <w:rFonts w:ascii="MS PMincho" w:eastAsia="MS PMincho" w:hAnsi="MS PMincho"/>
                <w:sz w:val="22"/>
                <w:szCs w:val="22"/>
              </w:rPr>
              <w:t>rofessor</w:t>
            </w:r>
            <w:r>
              <w:rPr>
                <w:rFonts w:ascii="MS PMincho" w:eastAsia="MS PMincho" w:hAnsi="MS PMincho"/>
                <w:sz w:val="22"/>
                <w:szCs w:val="22"/>
              </w:rPr>
              <w:t>s</w:t>
            </w:r>
          </w:p>
        </w:tc>
      </w:tr>
      <w:tr w:rsidR="00FE7BC2" w:rsidRPr="00E11E3A" w14:paraId="17A1B61E" w14:textId="77777777" w:rsidTr="005D3D86">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491" w:type="dxa"/>
            <w:gridSpan w:val="3"/>
            <w:tcBorders>
              <w:top w:val="dashSmallGap" w:sz="4" w:space="0" w:color="000000"/>
              <w:left w:val="single" w:sz="4" w:space="0" w:color="000000"/>
              <w:bottom w:val="single" w:sz="4" w:space="0" w:color="auto"/>
              <w:right w:val="single" w:sz="12" w:space="0" w:color="auto"/>
            </w:tcBorders>
          </w:tcPr>
          <w:p w14:paraId="06557622" w14:textId="05D1D742" w:rsidR="00FE7BC2" w:rsidRPr="00636A92" w:rsidRDefault="00717A6B" w:rsidP="00717A6B">
            <w:pPr>
              <w:rPr>
                <w:rFonts w:ascii="MS PMincho" w:eastAsia="MS PMincho" w:hAnsi="MS PMincho"/>
                <w:sz w:val="22"/>
                <w:szCs w:val="22"/>
              </w:rPr>
            </w:pPr>
            <w:proofErr w:type="spellStart"/>
            <w:r>
              <w:rPr>
                <w:rFonts w:ascii="MS PMincho" w:eastAsia="MS PMincho" w:hAnsi="MS PMincho"/>
                <w:sz w:val="22"/>
                <w:szCs w:val="22"/>
              </w:rPr>
              <w:t>Takanori</w:t>
            </w:r>
            <w:proofErr w:type="spellEnd"/>
            <w:r>
              <w:rPr>
                <w:rFonts w:ascii="MS PMincho" w:eastAsia="MS PMincho" w:hAnsi="MS PMincho"/>
                <w:sz w:val="22"/>
                <w:szCs w:val="22"/>
              </w:rPr>
              <w:t xml:space="preserve"> </w:t>
            </w:r>
            <w:proofErr w:type="spellStart"/>
            <w:r>
              <w:rPr>
                <w:rFonts w:ascii="MS PMincho" w:eastAsia="MS PMincho" w:hAnsi="MS PMincho"/>
                <w:sz w:val="22"/>
                <w:szCs w:val="22"/>
              </w:rPr>
              <w:t>Kiguchi</w:t>
            </w:r>
            <w:proofErr w:type="spellEnd"/>
            <w:r>
              <w:rPr>
                <w:rFonts w:ascii="MS PMincho" w:eastAsia="MS PMincho" w:hAnsi="MS PMincho"/>
                <w:sz w:val="22"/>
                <w:szCs w:val="22"/>
              </w:rPr>
              <w:t xml:space="preserve"> / </w:t>
            </w:r>
            <w:r w:rsidR="000E1D47">
              <w:rPr>
                <w:rFonts w:ascii="MS PMincho" w:eastAsia="MS PMincho" w:hAnsi="MS PMincho"/>
                <w:sz w:val="22"/>
                <w:szCs w:val="22"/>
              </w:rPr>
              <w:t>Zenji Horita</w:t>
            </w:r>
          </w:p>
        </w:tc>
      </w:tr>
      <w:tr w:rsidR="00596D90" w:rsidRPr="00E11E3A" w14:paraId="6728BD31" w14:textId="77777777" w:rsidTr="005D3D86">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MS PMincho" w:eastAsia="MS PMincho" w:hAnsi="MS PMincho"/>
                <w:sz w:val="22"/>
                <w:szCs w:val="22"/>
              </w:rPr>
            </w:pPr>
            <w:r w:rsidRPr="00636A92">
              <w:rPr>
                <w:rFonts w:ascii="MS PMincho" w:eastAsia="MS PMincho" w:hAnsi="MS PMincho"/>
                <w:sz w:val="22"/>
                <w:szCs w:val="22"/>
              </w:rPr>
              <w:t>Title of the joint research</w:t>
            </w:r>
          </w:p>
        </w:tc>
        <w:tc>
          <w:tcPr>
            <w:tcW w:w="7625" w:type="dxa"/>
            <w:gridSpan w:val="4"/>
            <w:tcBorders>
              <w:top w:val="single" w:sz="4" w:space="0" w:color="auto"/>
              <w:left w:val="single" w:sz="4" w:space="0" w:color="auto"/>
              <w:bottom w:val="single" w:sz="4" w:space="0" w:color="auto"/>
              <w:right w:val="single" w:sz="12" w:space="0" w:color="auto"/>
            </w:tcBorders>
            <w:vAlign w:val="center"/>
          </w:tcPr>
          <w:p w14:paraId="7BC59D19" w14:textId="3C46C825" w:rsidR="00596D90" w:rsidRPr="000B2C96" w:rsidRDefault="000B2C96" w:rsidP="000B2C96">
            <w:r>
              <w:t>H</w:t>
            </w:r>
            <w:r w:rsidR="00050C87">
              <w:t xml:space="preserve">exagonal </w:t>
            </w:r>
            <w:r>
              <w:t>metallic materials for orthopedic prostheses</w:t>
            </w:r>
          </w:p>
        </w:tc>
      </w:tr>
      <w:tr w:rsidR="00596D90" w:rsidRPr="00E11E3A" w14:paraId="519EC9CD"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MS PMincho" w:eastAsia="MS PMincho" w:hAnsi="MS PMincho"/>
                <w:sz w:val="22"/>
                <w:szCs w:val="22"/>
              </w:rPr>
            </w:pPr>
            <w:r w:rsidRPr="00636A92">
              <w:rPr>
                <w:rFonts w:ascii="MS PMincho" w:eastAsia="MS PMincho" w:hAnsi="MS PMincho"/>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0"/>
                <w:szCs w:val="20"/>
              </w:rPr>
            </w:pPr>
            <w:r w:rsidRPr="00636A92">
              <w:rPr>
                <w:rFonts w:ascii="MS PMincho" w:eastAsia="MS PMincho" w:hAnsi="MS PMincho" w:hint="eastAsia"/>
                <w:sz w:val="20"/>
                <w:szCs w:val="20"/>
              </w:rPr>
              <w:t>※</w:t>
            </w:r>
            <w:r w:rsidR="00636A92">
              <w:rPr>
                <w:rFonts w:ascii="MS PMincho" w:eastAsia="MS PMincho" w:hAnsi="MS PMincho"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Joint Usage / Research Centers (JURC)</w:t>
            </w:r>
          </w:p>
          <w:p w14:paraId="07496DAC"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MS PMincho" w:eastAsia="MS PMincho" w:hAnsi="MS PMincho" w:hint="eastAsia"/>
                <w:sz w:val="22"/>
                <w:szCs w:val="22"/>
              </w:rPr>
              <w:t xml:space="preserve">□　Program for using ILM facilities for sample analysis and </w:t>
            </w:r>
            <w:r w:rsidR="00BC052A" w:rsidRPr="00636A92">
              <w:rPr>
                <w:rFonts w:ascii="MS PMincho" w:eastAsia="MS PMincho" w:hAnsi="MS PMincho"/>
                <w:sz w:val="22"/>
                <w:szCs w:val="22"/>
              </w:rPr>
              <w:t>characterization</w:t>
            </w:r>
          </w:p>
        </w:tc>
        <w:tc>
          <w:tcPr>
            <w:tcW w:w="3660" w:type="dxa"/>
            <w:tcBorders>
              <w:top w:val="nil"/>
              <w:left w:val="dashed" w:sz="4" w:space="0" w:color="000000"/>
            </w:tcBorders>
          </w:tcPr>
          <w:p w14:paraId="379C0909" w14:textId="0F85BE78" w:rsidR="00596D90" w:rsidRPr="00636A92" w:rsidRDefault="005A04CE" w:rsidP="005A04CE">
            <w:pPr>
              <w:ind w:right="68"/>
              <w:rPr>
                <w:rFonts w:ascii="MS PMincho" w:eastAsia="MS PMincho" w:hAnsi="MS PMincho"/>
                <w:sz w:val="22"/>
                <w:szCs w:val="22"/>
              </w:rPr>
            </w:pPr>
            <w:r>
              <w:rPr>
                <w:rFonts w:hint="eastAsia"/>
                <w:sz w:val="22"/>
                <w:szCs w:val="22"/>
              </w:rPr>
              <w:t>□</w:t>
            </w:r>
            <w:r>
              <w:rPr>
                <w:rFonts w:hint="eastAsia"/>
                <w:sz w:val="22"/>
                <w:szCs w:val="22"/>
              </w:rPr>
              <w:t xml:space="preserve"> </w:t>
            </w:r>
            <w:r w:rsidR="00636A92" w:rsidRPr="00636A92">
              <w:rPr>
                <w:rFonts w:ascii="MS PMincho" w:eastAsia="MS PMincho" w:hAnsi="MS PMincho"/>
                <w:sz w:val="22"/>
                <w:szCs w:val="22"/>
              </w:rPr>
              <w:t>Focused themes</w:t>
            </w:r>
          </w:p>
          <w:p w14:paraId="120E0CC3" w14:textId="19111552"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Transportation</w:t>
            </w:r>
          </w:p>
          <w:p w14:paraId="2FEFE168" w14:textId="57D2C6CB" w:rsidR="00596D90" w:rsidRPr="00636A92" w:rsidRDefault="00050C87" w:rsidP="005A04CE">
            <w:pPr>
              <w:ind w:right="68" w:firstLineChars="100" w:firstLine="220"/>
              <w:rPr>
                <w:rFonts w:ascii="MS PMincho" w:eastAsia="MS PMincho" w:hAnsi="MS PMincho"/>
                <w:sz w:val="22"/>
                <w:szCs w:val="22"/>
              </w:rPr>
            </w:pPr>
            <w:r>
              <w:rPr>
                <w:rFonts w:ascii="MS PMincho" w:eastAsia="MS PMincho" w:hAnsi="MS PMincho" w:hint="eastAsia"/>
                <w:sz w:val="22"/>
                <w:szCs w:val="22"/>
              </w:rPr>
              <w:t>■</w:t>
            </w:r>
            <w:r w:rsidR="00636A92">
              <w:rPr>
                <w:rFonts w:hint="eastAsia"/>
                <w:sz w:val="22"/>
                <w:szCs w:val="22"/>
              </w:rPr>
              <w:t xml:space="preserve"> </w:t>
            </w:r>
            <w:r w:rsidR="00636A92" w:rsidRPr="00636A92">
              <w:rPr>
                <w:rFonts w:ascii="MS PMincho" w:eastAsia="MS PMincho" w:hAnsi="MS PMincho"/>
                <w:sz w:val="22"/>
                <w:szCs w:val="22"/>
              </w:rPr>
              <w:t>Biomaterials</w:t>
            </w:r>
          </w:p>
          <w:p w14:paraId="2BBE4344" w14:textId="232F9400"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Bridge/building materials</w:t>
            </w:r>
          </w:p>
          <w:p w14:paraId="7712B945" w14:textId="734D89FB"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hint="eastAsia"/>
                <w:sz w:val="22"/>
                <w:szCs w:val="22"/>
              </w:rPr>
              <w:t>□　Independent research theme</w:t>
            </w:r>
          </w:p>
        </w:tc>
      </w:tr>
      <w:tr w:rsidR="00A16AEA" w:rsidRPr="00E11E3A" w14:paraId="7338AEEA"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MS PMincho" w:eastAsia="MS PMincho" w:hAnsi="MS PMincho"/>
                <w:sz w:val="22"/>
                <w:szCs w:val="22"/>
              </w:rPr>
            </w:pPr>
            <w:r w:rsidRPr="00C13F4C">
              <w:rPr>
                <w:rFonts w:ascii="MS PMincho" w:eastAsia="MS PMincho" w:hAnsi="MS PMincho"/>
                <w:sz w:val="22"/>
                <w:szCs w:val="22"/>
              </w:rPr>
              <w:t>Name of joint usage apparatus</w:t>
            </w:r>
          </w:p>
        </w:tc>
        <w:tc>
          <w:tcPr>
            <w:tcW w:w="7625" w:type="dxa"/>
            <w:gridSpan w:val="4"/>
            <w:tcBorders>
              <w:top w:val="single" w:sz="4" w:space="0" w:color="000000"/>
              <w:left w:val="single" w:sz="4" w:space="0" w:color="000000"/>
              <w:bottom w:val="single" w:sz="4" w:space="0" w:color="FFFFFF"/>
            </w:tcBorders>
          </w:tcPr>
          <w:p w14:paraId="624103B9" w14:textId="37002B5E" w:rsidR="00A16AEA" w:rsidRPr="00636A92" w:rsidRDefault="004074F3" w:rsidP="005A04CE">
            <w:pPr>
              <w:ind w:right="68"/>
              <w:rPr>
                <w:rFonts w:ascii="MS PMincho" w:eastAsia="MS PMincho" w:hAnsi="MS PMincho"/>
                <w:sz w:val="22"/>
                <w:szCs w:val="22"/>
              </w:rPr>
            </w:pPr>
            <w:r>
              <w:rPr>
                <w:rFonts w:ascii="MS PMincho" w:eastAsia="MS PMincho" w:hAnsi="MS PMincho"/>
                <w:sz w:val="22"/>
                <w:szCs w:val="22"/>
              </w:rPr>
              <w:t xml:space="preserve">SEM, </w:t>
            </w:r>
            <w:r w:rsidR="000E1D47">
              <w:rPr>
                <w:rFonts w:ascii="MS PMincho" w:eastAsia="MS PMincho" w:hAnsi="MS PMincho"/>
                <w:sz w:val="22"/>
                <w:szCs w:val="22"/>
              </w:rPr>
              <w:t>EBSD, Hardness tester</w:t>
            </w:r>
            <w:r w:rsidR="00BB2ADB">
              <w:rPr>
                <w:rFonts w:ascii="MS PMincho" w:eastAsia="MS PMincho" w:hAnsi="MS PMincho"/>
                <w:sz w:val="22"/>
                <w:szCs w:val="22"/>
              </w:rPr>
              <w:t>, XRD</w:t>
            </w:r>
          </w:p>
        </w:tc>
      </w:tr>
      <w:tr w:rsidR="00174206" w:rsidRPr="00E11E3A" w14:paraId="029F0F60"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2C6B82AD" w:rsidR="00174206" w:rsidRPr="00636A92"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5A60F7">
              <w:rPr>
                <w:rFonts w:ascii="MS PMincho" w:eastAsia="MS PMincho" w:hAnsi="MS PMincho"/>
                <w:spacing w:val="1"/>
                <w:w w:val="56"/>
                <w:kern w:val="0"/>
                <w:sz w:val="22"/>
                <w:szCs w:val="22"/>
                <w:fitText w:val="1760" w:id="-1267437312"/>
              </w:rPr>
              <w:t>Total amount of grant</w:t>
            </w:r>
            <w:r w:rsidR="0052763E" w:rsidRPr="005A60F7">
              <w:rPr>
                <w:rFonts w:ascii="MS PMincho" w:eastAsia="MS PMincho" w:hAnsi="MS PMincho"/>
                <w:spacing w:val="1"/>
                <w:w w:val="56"/>
                <w:kern w:val="0"/>
                <w:sz w:val="22"/>
                <w:szCs w:val="22"/>
                <w:fitText w:val="1760" w:id="-1267437312"/>
              </w:rPr>
              <w:t xml:space="preserve"> 300 000JP</w:t>
            </w:r>
            <w:r w:rsidR="0052763E" w:rsidRPr="005A60F7">
              <w:rPr>
                <w:rFonts w:ascii="MS PMincho" w:eastAsia="MS PMincho" w:hAnsi="MS PMincho"/>
                <w:spacing w:val="3"/>
                <w:w w:val="56"/>
                <w:kern w:val="0"/>
                <w:sz w:val="22"/>
                <w:szCs w:val="22"/>
                <w:fitText w:val="1760" w:id="-1267437312"/>
              </w:rPr>
              <w:t>Y</w:t>
            </w:r>
          </w:p>
        </w:tc>
        <w:tc>
          <w:tcPr>
            <w:tcW w:w="3787" w:type="dxa"/>
            <w:gridSpan w:val="3"/>
            <w:tcBorders>
              <w:left w:val="single" w:sz="4" w:space="0" w:color="auto"/>
              <w:right w:val="dashSmallGap" w:sz="4" w:space="0" w:color="auto"/>
            </w:tcBorders>
            <w:vAlign w:val="center"/>
          </w:tcPr>
          <w:p w14:paraId="3DB1CF44" w14:textId="392CDCE7" w:rsidR="00174206" w:rsidRPr="00636A92" w:rsidRDefault="00C13F4C" w:rsidP="0091464F">
            <w:pPr>
              <w:suppressAutoHyphens/>
              <w:kinsoku w:val="0"/>
              <w:overflowPunct w:val="0"/>
              <w:autoSpaceDE w:val="0"/>
              <w:autoSpaceDN w:val="0"/>
              <w:spacing w:line="288" w:lineRule="atLeast"/>
              <w:jc w:val="left"/>
              <w:rPr>
                <w:rFonts w:ascii="MS PMincho" w:eastAsia="MS PMincho" w:hAnsi="MS PMincho"/>
                <w:sz w:val="22"/>
                <w:szCs w:val="22"/>
              </w:rPr>
            </w:pPr>
            <w:r w:rsidRPr="00C13F4C">
              <w:rPr>
                <w:rFonts w:ascii="MS PMincho" w:eastAsia="MS PMincho" w:hAnsi="MS PMincho"/>
                <w:sz w:val="22"/>
                <w:szCs w:val="22"/>
              </w:rPr>
              <w:t>Travel expense</w:t>
            </w:r>
            <w:r w:rsidR="00174206" w:rsidRPr="00636A92">
              <w:rPr>
                <w:rFonts w:ascii="MS PMincho" w:eastAsia="MS PMincho" w:hAnsi="MS PMincho" w:hint="eastAsia"/>
                <w:sz w:val="22"/>
                <w:szCs w:val="22"/>
              </w:rPr>
              <w:t>（</w:t>
            </w:r>
            <w:r w:rsidR="005A60F7" w:rsidRPr="005A60F7">
              <w:rPr>
                <w:rFonts w:ascii="MS PMincho" w:eastAsia="MS PMincho" w:hAnsi="MS PMincho"/>
                <w:sz w:val="22"/>
                <w:szCs w:val="22"/>
              </w:rPr>
              <w:t>298359</w:t>
            </w:r>
            <w:r w:rsidR="0091464F">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c>
          <w:tcPr>
            <w:tcW w:w="4234" w:type="dxa"/>
            <w:gridSpan w:val="2"/>
            <w:tcBorders>
              <w:left w:val="dashSmallGap" w:sz="4" w:space="0" w:color="auto"/>
            </w:tcBorders>
            <w:vAlign w:val="center"/>
          </w:tcPr>
          <w:p w14:paraId="69692AE2" w14:textId="2F6FCA74" w:rsidR="00174206" w:rsidRPr="00636A92" w:rsidRDefault="00C13F4C" w:rsidP="000E1D47">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Consumable Fee</w:t>
            </w:r>
            <w:r w:rsidR="00174206" w:rsidRPr="00636A92">
              <w:rPr>
                <w:rFonts w:ascii="MS PMincho" w:eastAsia="MS PMincho" w:hAnsi="MS PMincho" w:hint="eastAsia"/>
                <w:sz w:val="22"/>
                <w:szCs w:val="22"/>
              </w:rPr>
              <w:t>（</w:t>
            </w:r>
            <w:r w:rsidR="005A60F7" w:rsidRPr="005A60F7">
              <w:rPr>
                <w:rFonts w:ascii="MS PMincho" w:eastAsia="MS PMincho" w:hAnsi="MS PMincho"/>
                <w:sz w:val="22"/>
                <w:szCs w:val="22"/>
              </w:rPr>
              <w:t>1641</w:t>
            </w:r>
            <w:r w:rsidR="0091464F">
              <w:rPr>
                <w:rFonts w:ascii="MS PMincho" w:eastAsia="MS PMincho" w:hAnsi="MS PMincho"/>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r>
      <w:tr w:rsidR="00596D90" w:rsidRPr="00E11E3A" w14:paraId="25A704D5"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885" w:type="dxa"/>
            <w:gridSpan w:val="6"/>
          </w:tcPr>
          <w:p w14:paraId="7990412D" w14:textId="4AE0E89C" w:rsidR="00596D90" w:rsidRPr="005927ED" w:rsidRDefault="00C13F4C" w:rsidP="005A04CE">
            <w:pPr>
              <w:pStyle w:val="a"/>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 xml:space="preserve">Please describe </w:t>
            </w:r>
            <w:r w:rsidR="00F73132">
              <w:rPr>
                <w:rFonts w:ascii="MS PMincho" w:eastAsia="MS PMincho" w:hAnsi="MS PMincho"/>
                <w:b/>
                <w:color w:val="FF0000"/>
                <w:spacing w:val="0"/>
                <w:sz w:val="16"/>
                <w:szCs w:val="18"/>
              </w:rPr>
              <w:t xml:space="preserve">the </w:t>
            </w:r>
            <w:r w:rsidRPr="00C13F4C">
              <w:rPr>
                <w:rFonts w:ascii="MS PMincho" w:eastAsia="MS PMincho" w:hAnsi="MS PMincho"/>
                <w:b/>
                <w:color w:val="FF0000"/>
                <w:spacing w:val="0"/>
                <w:sz w:val="16"/>
                <w:szCs w:val="18"/>
              </w:rPr>
              <w:t>following three items briefly</w:t>
            </w:r>
            <w:r>
              <w:rPr>
                <w:rFonts w:ascii="MS PMincho" w:eastAsia="MS PMincho" w:hAnsi="MS PMincho" w:hint="eastAsia"/>
                <w:b/>
                <w:color w:val="FF0000"/>
                <w:spacing w:val="0"/>
                <w:sz w:val="16"/>
                <w:szCs w:val="18"/>
              </w:rPr>
              <w:t>.</w:t>
            </w:r>
          </w:p>
          <w:p w14:paraId="7285BB4E" w14:textId="77777777" w:rsidR="00C242B0" w:rsidRDefault="00596D90" w:rsidP="00DD772D">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The major results</w:t>
            </w:r>
            <w:r w:rsidRPr="005927ED">
              <w:rPr>
                <w:rFonts w:ascii="MS PMincho" w:eastAsia="MS PMincho" w:hAnsi="MS PMincho" w:hint="eastAsia"/>
                <w:spacing w:val="0"/>
              </w:rPr>
              <w:t>】</w:t>
            </w:r>
            <w:r w:rsidR="00DD772D">
              <w:rPr>
                <w:rFonts w:ascii="MS PMincho" w:eastAsia="MS PMincho" w:hAnsi="MS PMincho" w:hint="eastAsia"/>
                <w:spacing w:val="0"/>
              </w:rPr>
              <w:t xml:space="preserve"> </w:t>
            </w:r>
          </w:p>
          <w:p w14:paraId="6CB53B1B" w14:textId="0831050B" w:rsidR="00FC422F" w:rsidRDefault="00E10ECA" w:rsidP="00DD772D">
            <w:pPr>
              <w:pStyle w:val="a"/>
              <w:wordWrap/>
              <w:spacing w:line="288" w:lineRule="atLeast"/>
              <w:rPr>
                <w:rFonts w:ascii="MS PMincho" w:eastAsia="MS PMincho" w:hAnsi="MS PMincho"/>
              </w:rPr>
            </w:pPr>
            <w:r w:rsidRPr="00E10ECA">
              <w:rPr>
                <w:rFonts w:ascii="MS PMincho" w:eastAsia="MS PMincho" w:hAnsi="MS PMincho"/>
              </w:rPr>
              <w:t xml:space="preserve">In this research, </w:t>
            </w:r>
            <w:r w:rsidR="00C242B0">
              <w:rPr>
                <w:rFonts w:ascii="MS PMincho" w:eastAsia="MS PMincho" w:hAnsi="MS PMincho"/>
              </w:rPr>
              <w:t>pure titanium</w:t>
            </w:r>
            <w:r w:rsidRPr="00E10ECA">
              <w:rPr>
                <w:rFonts w:ascii="MS PMincho" w:eastAsia="MS PMincho" w:hAnsi="MS PMincho"/>
              </w:rPr>
              <w:t xml:space="preserve"> </w:t>
            </w:r>
            <w:r w:rsidR="00FC422F">
              <w:rPr>
                <w:rFonts w:ascii="MS PMincho" w:eastAsia="MS PMincho" w:hAnsi="MS PMincho"/>
              </w:rPr>
              <w:t>was</w:t>
            </w:r>
            <w:r w:rsidRPr="00E10ECA">
              <w:rPr>
                <w:rFonts w:ascii="MS PMincho" w:eastAsia="MS PMincho" w:hAnsi="MS PMincho"/>
              </w:rPr>
              <w:t xml:space="preserve"> </w:t>
            </w:r>
            <w:r w:rsidR="00AC6B98">
              <w:rPr>
                <w:rFonts w:ascii="MS PMincho" w:eastAsia="MS PMincho" w:hAnsi="MS PMincho"/>
              </w:rPr>
              <w:t>processed</w:t>
            </w:r>
            <w:r w:rsidRPr="00E10ECA">
              <w:rPr>
                <w:rFonts w:ascii="MS PMincho" w:eastAsia="MS PMincho" w:hAnsi="MS PMincho"/>
              </w:rPr>
              <w:t xml:space="preserve"> in the form of 10</w:t>
            </w:r>
            <w:r w:rsidR="00DB6059">
              <w:rPr>
                <w:rFonts w:ascii="MS PMincho" w:eastAsia="MS PMincho" w:hAnsi="MS PMincho"/>
              </w:rPr>
              <w:t xml:space="preserve"> </w:t>
            </w:r>
            <w:r w:rsidRPr="00E10ECA">
              <w:rPr>
                <w:rFonts w:ascii="MS PMincho" w:eastAsia="MS PMincho" w:hAnsi="MS PMincho"/>
              </w:rPr>
              <w:t>mm discs by</w:t>
            </w:r>
            <w:r w:rsidR="00AC6B98">
              <w:rPr>
                <w:rFonts w:ascii="MS PMincho" w:eastAsia="MS PMincho" w:hAnsi="MS PMincho"/>
              </w:rPr>
              <w:t xml:space="preserve"> </w:t>
            </w:r>
            <w:r>
              <w:rPr>
                <w:rFonts w:ascii="MS PMincho" w:eastAsia="MS PMincho" w:hAnsi="MS PMincho"/>
              </w:rPr>
              <w:t>High-Pressure</w:t>
            </w:r>
            <w:r w:rsidRPr="00E10ECA">
              <w:rPr>
                <w:rFonts w:ascii="MS PMincho" w:eastAsia="MS PMincho" w:hAnsi="MS PMincho"/>
              </w:rPr>
              <w:t xml:space="preserve"> Torsion (HPT)</w:t>
            </w:r>
            <w:r w:rsidR="00AC6B98">
              <w:rPr>
                <w:rFonts w:ascii="MS PMincho" w:eastAsia="MS PMincho" w:hAnsi="MS PMincho"/>
              </w:rPr>
              <w:t xml:space="preserve">. </w:t>
            </w:r>
          </w:p>
          <w:p w14:paraId="29E2F924" w14:textId="55D76F90" w:rsidR="00FC422F" w:rsidRPr="00FC422F" w:rsidRDefault="00FC422F" w:rsidP="00FC422F">
            <w:pPr>
              <w:pStyle w:val="a"/>
              <w:spacing w:line="288" w:lineRule="atLeast"/>
              <w:rPr>
                <w:rFonts w:ascii="MS PMincho" w:eastAsia="MS PMincho" w:hAnsi="MS PMincho"/>
              </w:rPr>
            </w:pPr>
            <w:r>
              <w:rPr>
                <w:rFonts w:ascii="MS PMincho" w:eastAsia="MS PMincho" w:hAnsi="MS PMincho"/>
              </w:rPr>
              <w:t>A</w:t>
            </w:r>
            <w:r w:rsidRPr="00FC422F">
              <w:rPr>
                <w:rFonts w:ascii="MS PMincho" w:eastAsia="MS PMincho" w:hAnsi="MS PMincho"/>
              </w:rPr>
              <w:t xml:space="preserve"> heat treatment at 800°C for one hour was conducted to compare samples with and without prior heat treatment before undergoing the HPT process. Following HPT, the annealed samples were exposed to 130°C for 5 and 20 minutes to examine the temperature effects on the omega phase.</w:t>
            </w:r>
          </w:p>
          <w:p w14:paraId="5D0FE997" w14:textId="68770711" w:rsidR="00FC422F" w:rsidRPr="00FC422F" w:rsidRDefault="00FC422F" w:rsidP="00FC422F">
            <w:pPr>
              <w:pStyle w:val="a"/>
              <w:spacing w:line="288" w:lineRule="atLeast"/>
              <w:rPr>
                <w:rFonts w:ascii="MS PMincho" w:eastAsia="MS PMincho" w:hAnsi="MS PMincho"/>
              </w:rPr>
            </w:pPr>
            <w:r w:rsidRPr="00FC422F">
              <w:rPr>
                <w:rFonts w:ascii="MS PMincho" w:eastAsia="MS PMincho" w:hAnsi="MS PMincho"/>
              </w:rPr>
              <w:t xml:space="preserve">The study also investigated the influence of pressure on the formation of the omega phase in titanium and its impact on mechanical properties. Pressures of 2, 4, 5, 5.25, 5.5, and 6 </w:t>
            </w:r>
            <w:proofErr w:type="spellStart"/>
            <w:r w:rsidRPr="00FC422F">
              <w:rPr>
                <w:rFonts w:ascii="MS PMincho" w:eastAsia="MS PMincho" w:hAnsi="MS PMincho"/>
              </w:rPr>
              <w:t>GPa</w:t>
            </w:r>
            <w:proofErr w:type="spellEnd"/>
            <w:r w:rsidRPr="00FC422F">
              <w:rPr>
                <w:rFonts w:ascii="MS PMincho" w:eastAsia="MS PMincho" w:hAnsi="MS PMincho"/>
              </w:rPr>
              <w:t xml:space="preserve"> were used for the HPT process at 1 rpm for 1 revolution. For the High-Pressure </w:t>
            </w:r>
            <w:r>
              <w:rPr>
                <w:rFonts w:ascii="MS PMincho" w:eastAsia="MS PMincho" w:hAnsi="MS PMincho"/>
              </w:rPr>
              <w:t>S</w:t>
            </w:r>
            <w:r w:rsidRPr="00FC422F">
              <w:rPr>
                <w:rFonts w:ascii="MS PMincho" w:eastAsia="MS PMincho" w:hAnsi="MS PMincho"/>
              </w:rPr>
              <w:t xml:space="preserve">liding (HPS) process, pressures of 2, 5, and 6 </w:t>
            </w:r>
            <w:proofErr w:type="spellStart"/>
            <w:r w:rsidRPr="00FC422F">
              <w:rPr>
                <w:rFonts w:ascii="MS PMincho" w:eastAsia="MS PMincho" w:hAnsi="MS PMincho"/>
              </w:rPr>
              <w:t>GPa</w:t>
            </w:r>
            <w:proofErr w:type="spellEnd"/>
            <w:r w:rsidRPr="00FC422F">
              <w:rPr>
                <w:rFonts w:ascii="MS PMincho" w:eastAsia="MS PMincho" w:hAnsi="MS PMincho"/>
              </w:rPr>
              <w:t xml:space="preserve"> were applied. </w:t>
            </w:r>
            <w:r>
              <w:rPr>
                <w:rFonts w:ascii="MS PMincho" w:eastAsia="MS PMincho" w:hAnsi="MS PMincho"/>
              </w:rPr>
              <w:t>For the HPT samples, i</w:t>
            </w:r>
            <w:r w:rsidRPr="00FC422F">
              <w:rPr>
                <w:rFonts w:ascii="MS PMincho" w:eastAsia="MS PMincho" w:hAnsi="MS PMincho"/>
              </w:rPr>
              <w:t>t was found that the fraction of the omega phase is proportional to the pressure used during</w:t>
            </w:r>
            <w:r>
              <w:rPr>
                <w:rFonts w:ascii="MS PMincho" w:eastAsia="MS PMincho" w:hAnsi="MS PMincho"/>
              </w:rPr>
              <w:t xml:space="preserve"> the process</w:t>
            </w:r>
            <w:r w:rsidRPr="00FC422F">
              <w:rPr>
                <w:rFonts w:ascii="MS PMincho" w:eastAsia="MS PMincho" w:hAnsi="MS PMincho"/>
              </w:rPr>
              <w:t xml:space="preserve">, with no omega phase detected in samples processed at 2 and 4 </w:t>
            </w:r>
            <w:proofErr w:type="spellStart"/>
            <w:r w:rsidRPr="00FC422F">
              <w:rPr>
                <w:rFonts w:ascii="MS PMincho" w:eastAsia="MS PMincho" w:hAnsi="MS PMincho"/>
              </w:rPr>
              <w:t>GPa</w:t>
            </w:r>
            <w:proofErr w:type="spellEnd"/>
            <w:r w:rsidRPr="00FC422F">
              <w:rPr>
                <w:rFonts w:ascii="MS PMincho" w:eastAsia="MS PMincho" w:hAnsi="MS PMincho"/>
              </w:rPr>
              <w:t>.</w:t>
            </w:r>
            <w:r w:rsidR="00B642A5">
              <w:rPr>
                <w:rFonts w:ascii="MS PMincho" w:eastAsia="MS PMincho" w:hAnsi="MS PMincho"/>
              </w:rPr>
              <w:t xml:space="preserve"> For the HPS samples, the omega phase was detected only for the sample processed under 6</w:t>
            </w:r>
            <w:r w:rsidR="00006889">
              <w:rPr>
                <w:rFonts w:ascii="MS PMincho" w:eastAsia="MS PMincho" w:hAnsi="MS PMincho"/>
              </w:rPr>
              <w:t xml:space="preserve"> </w:t>
            </w:r>
            <w:proofErr w:type="spellStart"/>
            <w:r w:rsidR="00B642A5">
              <w:rPr>
                <w:rFonts w:ascii="MS PMincho" w:eastAsia="MS PMincho" w:hAnsi="MS PMincho"/>
              </w:rPr>
              <w:t>GPa</w:t>
            </w:r>
            <w:proofErr w:type="spellEnd"/>
            <w:r w:rsidR="00B642A5">
              <w:rPr>
                <w:rFonts w:ascii="MS PMincho" w:eastAsia="MS PMincho" w:hAnsi="MS PMincho"/>
              </w:rPr>
              <w:t>.</w:t>
            </w:r>
          </w:p>
          <w:p w14:paraId="1F020560" w14:textId="77777777" w:rsidR="00842D72" w:rsidRDefault="00FC422F" w:rsidP="00FC422F">
            <w:pPr>
              <w:pStyle w:val="a"/>
              <w:spacing w:line="288" w:lineRule="atLeast"/>
              <w:rPr>
                <w:rFonts w:ascii="MS PMincho" w:eastAsia="MS PMincho" w:hAnsi="MS PMincho"/>
              </w:rPr>
            </w:pPr>
            <w:r w:rsidRPr="00FC422F">
              <w:rPr>
                <w:rFonts w:ascii="MS PMincho" w:eastAsia="MS PMincho" w:hAnsi="MS PMincho"/>
              </w:rPr>
              <w:t>Microstructural characterization and mechanical properties analysis were performed using Electron Backscatter Diffraction (EBSD), X-ray Diffraction (XRD), tensile testing, and Vickers microhardness testing.</w:t>
            </w:r>
          </w:p>
          <w:p w14:paraId="2B94FE6E" w14:textId="1F72CEE7" w:rsidR="00842D72" w:rsidRDefault="00842D72" w:rsidP="00842D72">
            <w:pPr>
              <w:pStyle w:val="a"/>
              <w:wordWrap/>
              <w:spacing w:line="288" w:lineRule="atLeast"/>
              <w:rPr>
                <w:rFonts w:ascii="MS PMincho" w:eastAsia="MS PMincho" w:hAnsi="MS PMincho"/>
              </w:rPr>
            </w:pPr>
            <w:r>
              <w:rPr>
                <w:rFonts w:ascii="MS PMincho" w:eastAsia="MS PMincho" w:hAnsi="MS PMincho"/>
              </w:rPr>
              <w:t xml:space="preserve">For the HPT samples, there were no </w:t>
            </w:r>
            <w:r w:rsidRPr="00FC422F">
              <w:rPr>
                <w:rFonts w:ascii="MS PMincho" w:eastAsia="MS PMincho" w:hAnsi="MS PMincho"/>
              </w:rPr>
              <w:t xml:space="preserve">significant </w:t>
            </w:r>
            <w:r>
              <w:rPr>
                <w:rFonts w:ascii="MS PMincho" w:eastAsia="MS PMincho" w:hAnsi="MS PMincho"/>
              </w:rPr>
              <w:t>differences</w:t>
            </w:r>
            <w:r w:rsidRPr="00FC422F">
              <w:rPr>
                <w:rFonts w:ascii="MS PMincho" w:eastAsia="MS PMincho" w:hAnsi="MS PMincho"/>
              </w:rPr>
              <w:t xml:space="preserve"> in microhardness and tensile test values between</w:t>
            </w:r>
            <w:r>
              <w:rPr>
                <w:rFonts w:ascii="MS PMincho" w:eastAsia="MS PMincho" w:hAnsi="MS PMincho"/>
              </w:rPr>
              <w:t xml:space="preserve"> As-HPT</w:t>
            </w:r>
            <w:r w:rsidRPr="00FC422F">
              <w:rPr>
                <w:rFonts w:ascii="MS PMincho" w:eastAsia="MS PMincho" w:hAnsi="MS PMincho"/>
              </w:rPr>
              <w:t xml:space="preserve"> samples</w:t>
            </w:r>
            <w:r>
              <w:rPr>
                <w:rFonts w:ascii="MS PMincho" w:eastAsia="MS PMincho" w:hAnsi="MS PMincho"/>
              </w:rPr>
              <w:t xml:space="preserve"> and samples annealed at 130°C for 5 and 20 min</w:t>
            </w:r>
            <w:r w:rsidRPr="00FC422F">
              <w:rPr>
                <w:rFonts w:ascii="MS PMincho" w:eastAsia="MS PMincho" w:hAnsi="MS PMincho"/>
              </w:rPr>
              <w:t xml:space="preserve">. Among the HPT-processed samples, the one processed under 5 </w:t>
            </w:r>
            <w:proofErr w:type="spellStart"/>
            <w:r w:rsidRPr="00FC422F">
              <w:rPr>
                <w:rFonts w:ascii="MS PMincho" w:eastAsia="MS PMincho" w:hAnsi="MS PMincho"/>
              </w:rPr>
              <w:t>GPa</w:t>
            </w:r>
            <w:proofErr w:type="spellEnd"/>
            <w:r w:rsidRPr="00FC422F">
              <w:rPr>
                <w:rFonts w:ascii="MS PMincho" w:eastAsia="MS PMincho" w:hAnsi="MS PMincho"/>
              </w:rPr>
              <w:t xml:space="preserve"> displayed the best balance between tensile strength and elongation. It was observed that after 1.5 revolutions, the sample still exhibited elongation, but increasing the revolutions further significantly reduced elongation, leading to brittle failure.</w:t>
            </w:r>
          </w:p>
          <w:p w14:paraId="6735ECF5" w14:textId="0DF1918A" w:rsidR="00FC422F" w:rsidRPr="00FC422F" w:rsidRDefault="00FC422F" w:rsidP="00FC422F">
            <w:pPr>
              <w:pStyle w:val="a"/>
              <w:spacing w:line="288" w:lineRule="atLeast"/>
              <w:rPr>
                <w:rFonts w:ascii="MS PMincho" w:eastAsia="MS PMincho" w:hAnsi="MS PMincho"/>
              </w:rPr>
            </w:pPr>
            <w:r w:rsidRPr="00FC422F">
              <w:rPr>
                <w:rFonts w:ascii="MS PMincho" w:eastAsia="MS PMincho" w:hAnsi="MS PMincho"/>
              </w:rPr>
              <w:t>HPS samples were analyzed both parallel and perpendicular to the induced deformation, revealing that parallel analysis exhibited higher tensile strength and greater elongation than the perpendicular analysis.</w:t>
            </w:r>
          </w:p>
          <w:p w14:paraId="16C48D9E" w14:textId="77777777" w:rsidR="00B45B6B"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91464F">
              <w:rPr>
                <w:rFonts w:ascii="MS PMincho" w:eastAsia="MS PMincho" w:hAnsi="MS PMincho"/>
                <w:spacing w:val="0"/>
              </w:rPr>
              <w:t>Future Prospects</w:t>
            </w:r>
            <w:r w:rsidRPr="005927ED">
              <w:rPr>
                <w:rFonts w:ascii="MS PMincho" w:eastAsia="MS PMincho" w:hAnsi="MS PMincho" w:hint="eastAsia"/>
                <w:spacing w:val="0"/>
              </w:rPr>
              <w:t>】</w:t>
            </w:r>
            <w:r w:rsidR="00DD772D">
              <w:rPr>
                <w:rFonts w:ascii="MS PMincho" w:eastAsia="MS PMincho" w:hAnsi="MS PMincho" w:hint="eastAsia"/>
                <w:spacing w:val="0"/>
              </w:rPr>
              <w:t xml:space="preserve"> </w:t>
            </w:r>
          </w:p>
          <w:p w14:paraId="7D2AAEEF" w14:textId="3956FBF4" w:rsidR="009F44F3" w:rsidRDefault="00E10ECA" w:rsidP="005A04CE">
            <w:pPr>
              <w:pStyle w:val="a"/>
              <w:wordWrap/>
              <w:spacing w:line="288" w:lineRule="atLeast"/>
              <w:rPr>
                <w:rFonts w:ascii="MS PMincho" w:eastAsia="MS PMincho" w:hAnsi="MS PMincho"/>
                <w:spacing w:val="0"/>
              </w:rPr>
            </w:pPr>
            <w:r w:rsidRPr="00E10ECA">
              <w:rPr>
                <w:rFonts w:ascii="MS PMincho" w:eastAsia="MS PMincho" w:hAnsi="MS PMincho"/>
                <w:spacing w:val="0"/>
              </w:rPr>
              <w:t xml:space="preserve">It is intended to perform TEM analysis on the samples that presented </w:t>
            </w:r>
            <w:r w:rsidR="00114ECB">
              <w:rPr>
                <w:rFonts w:ascii="MS PMincho" w:eastAsia="MS PMincho" w:hAnsi="MS PMincho"/>
                <w:spacing w:val="0"/>
              </w:rPr>
              <w:t>optimal mechanical properties to determine the grain size of the</w:t>
            </w:r>
            <w:r w:rsidR="009F44F3">
              <w:rPr>
                <w:rFonts w:ascii="MS PMincho" w:eastAsia="MS PMincho" w:hAnsi="MS PMincho"/>
                <w:spacing w:val="0"/>
              </w:rPr>
              <w:t xml:space="preserve"> Ti samples.</w:t>
            </w:r>
            <w:r w:rsidRPr="00E10ECA">
              <w:rPr>
                <w:rFonts w:ascii="MS PMincho" w:eastAsia="MS PMincho" w:hAnsi="MS PMincho"/>
                <w:spacing w:val="0"/>
              </w:rPr>
              <w:t xml:space="preserve"> </w:t>
            </w:r>
            <w:r w:rsidR="009F44F3" w:rsidRPr="009F44F3">
              <w:rPr>
                <w:rFonts w:ascii="MS PMincho" w:eastAsia="MS PMincho" w:hAnsi="MS PMincho"/>
                <w:spacing w:val="0"/>
              </w:rPr>
              <w:t>Analyze the behavior of the phases during the tensile test. For this, it is possible to perform hardness measurements on the tip of the tensile samples and XRD analysis.</w:t>
            </w:r>
            <w:r w:rsidR="009F44F3">
              <w:t xml:space="preserve"> </w:t>
            </w:r>
            <w:r w:rsidR="009F44F3" w:rsidRPr="009F44F3">
              <w:rPr>
                <w:rFonts w:ascii="MS PMincho" w:eastAsia="MS PMincho" w:hAnsi="MS PMincho"/>
                <w:spacing w:val="0"/>
              </w:rPr>
              <w:t xml:space="preserve">The </w:t>
            </w:r>
            <w:r w:rsidR="009F44F3">
              <w:rPr>
                <w:rFonts w:ascii="MS PMincho" w:eastAsia="MS PMincho" w:hAnsi="MS PMincho"/>
                <w:spacing w:val="0"/>
              </w:rPr>
              <w:t>aim</w:t>
            </w:r>
            <w:r w:rsidR="009F44F3" w:rsidRPr="009F44F3">
              <w:rPr>
                <w:rFonts w:ascii="MS PMincho" w:eastAsia="MS PMincho" w:hAnsi="MS PMincho"/>
                <w:spacing w:val="0"/>
              </w:rPr>
              <w:t xml:space="preserve"> is to understand the behavior of the omega phase under various conditions.</w:t>
            </w:r>
          </w:p>
          <w:p w14:paraId="7C67CE03" w14:textId="090E1AE6" w:rsidR="004074F3"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2B1D7F3D" w14:textId="6DD4FB32" w:rsidR="00596D90" w:rsidRPr="00DD772D" w:rsidRDefault="005E21F3" w:rsidP="00F20FFA">
            <w:pPr>
              <w:pStyle w:val="a"/>
              <w:wordWrap/>
              <w:spacing w:line="288" w:lineRule="atLeast"/>
              <w:rPr>
                <w:rFonts w:ascii="MS PMincho" w:eastAsia="MS PMincho" w:hAnsi="MS PMincho"/>
                <w:spacing w:val="0"/>
              </w:rPr>
            </w:pPr>
            <w:r>
              <w:rPr>
                <w:rFonts w:ascii="MS PMincho" w:eastAsia="MS PMincho" w:hAnsi="MS PMincho"/>
                <w:spacing w:val="0"/>
              </w:rPr>
              <w:t xml:space="preserve">(1) </w:t>
            </w:r>
            <w:r w:rsidR="00DD772D" w:rsidRPr="00E10ECA">
              <w:rPr>
                <w:rFonts w:ascii="MS PMincho" w:eastAsia="MS PMincho" w:hAnsi="MS PMincho"/>
                <w:spacing w:val="0"/>
              </w:rPr>
              <w:t xml:space="preserve">This study will be presented at an international conference </w:t>
            </w:r>
            <w:r w:rsidR="00DD772D">
              <w:rPr>
                <w:rFonts w:ascii="MS PMincho" w:eastAsia="MS PMincho" w:hAnsi="MS PMincho"/>
                <w:spacing w:val="0"/>
              </w:rPr>
              <w:t>in 202</w:t>
            </w:r>
            <w:r w:rsidR="00842D72">
              <w:rPr>
                <w:rFonts w:ascii="MS PMincho" w:eastAsia="MS PMincho" w:hAnsi="MS PMincho"/>
                <w:spacing w:val="0"/>
              </w:rPr>
              <w:t>4</w:t>
            </w:r>
            <w:r w:rsidR="00DD772D">
              <w:rPr>
                <w:rFonts w:ascii="MS PMincho" w:eastAsia="MS PMincho" w:hAnsi="MS PMincho"/>
                <w:spacing w:val="0"/>
              </w:rPr>
              <w:t>.</w:t>
            </w:r>
          </w:p>
        </w:tc>
      </w:tr>
      <w:tr w:rsidR="00A16AEA" w:rsidRPr="00E11E3A" w14:paraId="23E04DAF"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885" w:type="dxa"/>
            <w:gridSpan w:val="6"/>
          </w:tcPr>
          <w:p w14:paraId="7EA565ED" w14:textId="3C08D507" w:rsidR="00A16AEA" w:rsidRPr="0071088A" w:rsidRDefault="00C13F4C" w:rsidP="005A04CE">
            <w:pPr>
              <w:pStyle w:val="a"/>
              <w:wordWrap/>
              <w:rPr>
                <w:rFonts w:ascii="MS PMincho" w:eastAsia="MS PMincho" w:hAnsi="MS PMincho"/>
                <w:b/>
                <w:bCs/>
                <w:spacing w:val="0"/>
              </w:rPr>
            </w:pPr>
            <w:r w:rsidRPr="00C13F4C">
              <w:rPr>
                <w:rFonts w:ascii="MS PMincho" w:eastAsia="MS PMincho" w:hAnsi="MS PMincho"/>
                <w:b/>
                <w:bCs/>
                <w:spacing w:val="0"/>
              </w:rPr>
              <w:lastRenderedPageBreak/>
              <w:t>Notes</w:t>
            </w:r>
          </w:p>
          <w:p w14:paraId="1B4041C0" w14:textId="53822EF4" w:rsidR="00A16AEA" w:rsidRPr="005927ED" w:rsidRDefault="00A16AEA" w:rsidP="00D024DD">
            <w:pPr>
              <w:pStyle w:val="a"/>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lease use the form and submit to ILM</w:t>
            </w:r>
            <w:r w:rsidR="00D024DD">
              <w:rPr>
                <w:rFonts w:ascii="MS PMincho" w:eastAsia="MS PMincho" w:hAnsi="MS PMincho"/>
                <w:spacing w:val="0"/>
                <w:sz w:val="20"/>
                <w:szCs w:val="20"/>
              </w:rPr>
              <w:t xml:space="preserve"> </w:t>
            </w:r>
            <w:r w:rsidR="00D024DD" w:rsidRPr="00D024DD">
              <w:rPr>
                <w:rFonts w:ascii="MS PMincho" w:eastAsia="MS PMincho" w:hAnsi="MS PMincho"/>
                <w:spacing w:val="0"/>
                <w:sz w:val="20"/>
                <w:szCs w:val="20"/>
              </w:rPr>
              <w:t>office (mrc@kumamoto-u.ac.jp)</w:t>
            </w:r>
            <w:r w:rsidR="00DB4924" w:rsidRPr="00DB4924">
              <w:rPr>
                <w:rFonts w:ascii="MS PMincho" w:eastAsia="MS PMincho" w:hAnsi="MS PMincho"/>
                <w:spacing w:val="0"/>
                <w:sz w:val="20"/>
                <w:szCs w:val="20"/>
              </w:rPr>
              <w:t xml:space="preserve"> by Friday, </w:t>
            </w:r>
            <w:r w:rsidR="00D024DD">
              <w:rPr>
                <w:rFonts w:ascii="MS PMincho" w:eastAsia="MS PMincho" w:hAnsi="MS PMincho"/>
                <w:spacing w:val="0"/>
                <w:sz w:val="20"/>
                <w:szCs w:val="20"/>
              </w:rPr>
              <w:t>April</w:t>
            </w:r>
            <w:r w:rsidR="00DB4924" w:rsidRPr="00DB4924">
              <w:rPr>
                <w:rFonts w:ascii="MS PMincho" w:eastAsia="MS PMincho" w:hAnsi="MS PMincho"/>
                <w:spacing w:val="0"/>
                <w:sz w:val="20"/>
                <w:szCs w:val="20"/>
              </w:rPr>
              <w:t xml:space="preserve"> 2</w:t>
            </w:r>
            <w:r w:rsidR="00D024DD">
              <w:rPr>
                <w:rFonts w:ascii="MS PMincho" w:eastAsia="MS PMincho" w:hAnsi="MS PMincho"/>
                <w:spacing w:val="0"/>
                <w:sz w:val="20"/>
                <w:szCs w:val="20"/>
              </w:rPr>
              <w:t>8</w:t>
            </w:r>
            <w:r w:rsidR="00DB4924" w:rsidRPr="00DB4924">
              <w:rPr>
                <w:rFonts w:ascii="MS PMincho" w:eastAsia="MS PMincho" w:hAnsi="MS PMincho"/>
                <w:spacing w:val="0"/>
                <w:sz w:val="20"/>
                <w:szCs w:val="20"/>
              </w:rPr>
              <w:t>, 202</w:t>
            </w:r>
            <w:r w:rsidR="00D024DD">
              <w:rPr>
                <w:rFonts w:ascii="MS PMincho" w:eastAsia="MS PMincho" w:hAnsi="MS PMincho"/>
                <w:spacing w:val="0"/>
                <w:sz w:val="20"/>
                <w:szCs w:val="20"/>
              </w:rPr>
              <w:t>3</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665B" w14:textId="77777777" w:rsidR="000678A2" w:rsidRDefault="000678A2">
      <w:r>
        <w:separator/>
      </w:r>
    </w:p>
  </w:endnote>
  <w:endnote w:type="continuationSeparator" w:id="0">
    <w:p w14:paraId="4CAF9FEF" w14:textId="77777777" w:rsidR="000678A2" w:rsidRDefault="000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FC51" w14:textId="77777777" w:rsidR="000678A2" w:rsidRDefault="000678A2">
      <w:r>
        <w:separator/>
      </w:r>
    </w:p>
  </w:footnote>
  <w:footnote w:type="continuationSeparator" w:id="0">
    <w:p w14:paraId="5489E561" w14:textId="77777777" w:rsidR="000678A2" w:rsidRDefault="0006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366BD269" w:rsidR="00DD5F5D" w:rsidRDefault="0087731F" w:rsidP="00DD5F5D">
    <w:pPr>
      <w:pStyle w:val="Encabezado"/>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9540279">
    <w:abstractNumId w:val="7"/>
  </w:num>
  <w:num w:numId="2" w16cid:durableId="137188340">
    <w:abstractNumId w:val="2"/>
  </w:num>
  <w:num w:numId="3" w16cid:durableId="1955166787">
    <w:abstractNumId w:val="5"/>
  </w:num>
  <w:num w:numId="4" w16cid:durableId="1260525519">
    <w:abstractNumId w:val="1"/>
  </w:num>
  <w:num w:numId="5" w16cid:durableId="982851179">
    <w:abstractNumId w:val="3"/>
  </w:num>
  <w:num w:numId="6" w16cid:durableId="548810624">
    <w:abstractNumId w:val="6"/>
  </w:num>
  <w:num w:numId="7" w16cid:durableId="1378509615">
    <w:abstractNumId w:val="4"/>
  </w:num>
  <w:num w:numId="8" w16cid:durableId="141204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D5"/>
    <w:rsid w:val="000011CE"/>
    <w:rsid w:val="00006889"/>
    <w:rsid w:val="00010D74"/>
    <w:rsid w:val="00015763"/>
    <w:rsid w:val="00015DC1"/>
    <w:rsid w:val="000179FF"/>
    <w:rsid w:val="00020D53"/>
    <w:rsid w:val="00021E22"/>
    <w:rsid w:val="00021E4D"/>
    <w:rsid w:val="0002543E"/>
    <w:rsid w:val="00033F03"/>
    <w:rsid w:val="000425F5"/>
    <w:rsid w:val="00047318"/>
    <w:rsid w:val="00050C87"/>
    <w:rsid w:val="00060691"/>
    <w:rsid w:val="000622F7"/>
    <w:rsid w:val="00065140"/>
    <w:rsid w:val="000678A2"/>
    <w:rsid w:val="00072765"/>
    <w:rsid w:val="000825FF"/>
    <w:rsid w:val="00084C53"/>
    <w:rsid w:val="00095FB6"/>
    <w:rsid w:val="000A7A3D"/>
    <w:rsid w:val="000B09FE"/>
    <w:rsid w:val="000B2C96"/>
    <w:rsid w:val="000C350E"/>
    <w:rsid w:val="000E1D47"/>
    <w:rsid w:val="000F02B2"/>
    <w:rsid w:val="000F07D5"/>
    <w:rsid w:val="00110ABF"/>
    <w:rsid w:val="0011423D"/>
    <w:rsid w:val="00114ECB"/>
    <w:rsid w:val="00115A06"/>
    <w:rsid w:val="00115C63"/>
    <w:rsid w:val="00127325"/>
    <w:rsid w:val="0014537D"/>
    <w:rsid w:val="001519A9"/>
    <w:rsid w:val="00160C01"/>
    <w:rsid w:val="00174206"/>
    <w:rsid w:val="001749CC"/>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676B7"/>
    <w:rsid w:val="003709E8"/>
    <w:rsid w:val="00370FFF"/>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074F3"/>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573A"/>
    <w:rsid w:val="005060E2"/>
    <w:rsid w:val="005062EA"/>
    <w:rsid w:val="00522D31"/>
    <w:rsid w:val="0052763E"/>
    <w:rsid w:val="00541B78"/>
    <w:rsid w:val="00543EB3"/>
    <w:rsid w:val="00555C1D"/>
    <w:rsid w:val="00556112"/>
    <w:rsid w:val="00564375"/>
    <w:rsid w:val="005665CC"/>
    <w:rsid w:val="00570FF9"/>
    <w:rsid w:val="005866C8"/>
    <w:rsid w:val="005927ED"/>
    <w:rsid w:val="00596D90"/>
    <w:rsid w:val="005A04CE"/>
    <w:rsid w:val="005A60F7"/>
    <w:rsid w:val="005B0D1E"/>
    <w:rsid w:val="005C15A9"/>
    <w:rsid w:val="005D3D86"/>
    <w:rsid w:val="005E21F3"/>
    <w:rsid w:val="005E3E12"/>
    <w:rsid w:val="005F7A9B"/>
    <w:rsid w:val="006072A7"/>
    <w:rsid w:val="00636A92"/>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17A6B"/>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2D72"/>
    <w:rsid w:val="008463DA"/>
    <w:rsid w:val="00846FB5"/>
    <w:rsid w:val="0085635E"/>
    <w:rsid w:val="00864BA7"/>
    <w:rsid w:val="00870BE9"/>
    <w:rsid w:val="00876B94"/>
    <w:rsid w:val="008770E0"/>
    <w:rsid w:val="0087731F"/>
    <w:rsid w:val="00886F13"/>
    <w:rsid w:val="008915C0"/>
    <w:rsid w:val="00893090"/>
    <w:rsid w:val="008B29F3"/>
    <w:rsid w:val="008D165D"/>
    <w:rsid w:val="008D5347"/>
    <w:rsid w:val="008D7C8A"/>
    <w:rsid w:val="008E713D"/>
    <w:rsid w:val="008F5DD4"/>
    <w:rsid w:val="00903249"/>
    <w:rsid w:val="00904012"/>
    <w:rsid w:val="0090662A"/>
    <w:rsid w:val="0091464F"/>
    <w:rsid w:val="00924FEA"/>
    <w:rsid w:val="00927E4C"/>
    <w:rsid w:val="00940197"/>
    <w:rsid w:val="009534DB"/>
    <w:rsid w:val="00954345"/>
    <w:rsid w:val="009637A5"/>
    <w:rsid w:val="0098375D"/>
    <w:rsid w:val="009C69DB"/>
    <w:rsid w:val="009C7D2B"/>
    <w:rsid w:val="009D1A94"/>
    <w:rsid w:val="009E5333"/>
    <w:rsid w:val="009E7330"/>
    <w:rsid w:val="009F44F3"/>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A50A2"/>
    <w:rsid w:val="00AB11BE"/>
    <w:rsid w:val="00AC6B98"/>
    <w:rsid w:val="00AC7935"/>
    <w:rsid w:val="00AF2175"/>
    <w:rsid w:val="00AF2F5D"/>
    <w:rsid w:val="00AF6EF7"/>
    <w:rsid w:val="00B40432"/>
    <w:rsid w:val="00B4528B"/>
    <w:rsid w:val="00B45404"/>
    <w:rsid w:val="00B45B6B"/>
    <w:rsid w:val="00B54F0D"/>
    <w:rsid w:val="00B642A5"/>
    <w:rsid w:val="00B678E9"/>
    <w:rsid w:val="00B67B27"/>
    <w:rsid w:val="00B71C36"/>
    <w:rsid w:val="00B7757C"/>
    <w:rsid w:val="00B77734"/>
    <w:rsid w:val="00B867AE"/>
    <w:rsid w:val="00B87A87"/>
    <w:rsid w:val="00B9237F"/>
    <w:rsid w:val="00B960E7"/>
    <w:rsid w:val="00B96D17"/>
    <w:rsid w:val="00BB119D"/>
    <w:rsid w:val="00BB1248"/>
    <w:rsid w:val="00BB1E16"/>
    <w:rsid w:val="00BB2ADB"/>
    <w:rsid w:val="00BB3CAA"/>
    <w:rsid w:val="00BB710D"/>
    <w:rsid w:val="00BC052A"/>
    <w:rsid w:val="00BE69C3"/>
    <w:rsid w:val="00BE6C3E"/>
    <w:rsid w:val="00BF0634"/>
    <w:rsid w:val="00BF110B"/>
    <w:rsid w:val="00C13F4C"/>
    <w:rsid w:val="00C16201"/>
    <w:rsid w:val="00C242B0"/>
    <w:rsid w:val="00C275B4"/>
    <w:rsid w:val="00C336BA"/>
    <w:rsid w:val="00C4373F"/>
    <w:rsid w:val="00C608C4"/>
    <w:rsid w:val="00C6198A"/>
    <w:rsid w:val="00C61FA7"/>
    <w:rsid w:val="00C75BA8"/>
    <w:rsid w:val="00C806F8"/>
    <w:rsid w:val="00C8773A"/>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52A2F"/>
    <w:rsid w:val="00D7048F"/>
    <w:rsid w:val="00D7090C"/>
    <w:rsid w:val="00D82B04"/>
    <w:rsid w:val="00D82C90"/>
    <w:rsid w:val="00D82DA2"/>
    <w:rsid w:val="00DA0032"/>
    <w:rsid w:val="00DA044E"/>
    <w:rsid w:val="00DB1B60"/>
    <w:rsid w:val="00DB4369"/>
    <w:rsid w:val="00DB4924"/>
    <w:rsid w:val="00DB6059"/>
    <w:rsid w:val="00DC2DF9"/>
    <w:rsid w:val="00DD0428"/>
    <w:rsid w:val="00DD5F5D"/>
    <w:rsid w:val="00DD772D"/>
    <w:rsid w:val="00DF4E75"/>
    <w:rsid w:val="00E10ECA"/>
    <w:rsid w:val="00E152D1"/>
    <w:rsid w:val="00E40AFA"/>
    <w:rsid w:val="00E41F6F"/>
    <w:rsid w:val="00E442D8"/>
    <w:rsid w:val="00E6722A"/>
    <w:rsid w:val="00E7114C"/>
    <w:rsid w:val="00E712E4"/>
    <w:rsid w:val="00E878C2"/>
    <w:rsid w:val="00E96D99"/>
    <w:rsid w:val="00EA110F"/>
    <w:rsid w:val="00EA178E"/>
    <w:rsid w:val="00EA2364"/>
    <w:rsid w:val="00EA3DDE"/>
    <w:rsid w:val="00EB4063"/>
    <w:rsid w:val="00EC291F"/>
    <w:rsid w:val="00ED4F86"/>
    <w:rsid w:val="00ED71D6"/>
    <w:rsid w:val="00EE06CF"/>
    <w:rsid w:val="00F076DC"/>
    <w:rsid w:val="00F16AE6"/>
    <w:rsid w:val="00F20FFA"/>
    <w:rsid w:val="00F3695C"/>
    <w:rsid w:val="00F73132"/>
    <w:rsid w:val="00F7698C"/>
    <w:rsid w:val="00F76A1C"/>
    <w:rsid w:val="00F831D8"/>
    <w:rsid w:val="00F84B01"/>
    <w:rsid w:val="00F92C5E"/>
    <w:rsid w:val="00F93EFE"/>
    <w:rsid w:val="00F963DD"/>
    <w:rsid w:val="00FA0990"/>
    <w:rsid w:val="00FA0C83"/>
    <w:rsid w:val="00FA5486"/>
    <w:rsid w:val="00FB0736"/>
    <w:rsid w:val="00FB7893"/>
    <w:rsid w:val="00FC32B0"/>
    <w:rsid w:val="00FC422F"/>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D90"/>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Encabezado">
    <w:name w:val="header"/>
    <w:basedOn w:val="Normal"/>
    <w:link w:val="EncabezadoCar"/>
    <w:uiPriority w:val="99"/>
    <w:pPr>
      <w:tabs>
        <w:tab w:val="center" w:pos="4252"/>
        <w:tab w:val="right" w:pos="8504"/>
      </w:tabs>
      <w:snapToGrid w:val="0"/>
    </w:pPr>
  </w:style>
  <w:style w:type="paragraph" w:styleId="Piedepgina">
    <w:name w:val="footer"/>
    <w:basedOn w:val="Normal"/>
    <w:pPr>
      <w:tabs>
        <w:tab w:val="center" w:pos="4252"/>
        <w:tab w:val="right" w:pos="8504"/>
      </w:tabs>
      <w:snapToGrid w:val="0"/>
    </w:pPr>
  </w:style>
  <w:style w:type="character" w:styleId="Nmerodepgina">
    <w:name w:val="page number"/>
    <w:basedOn w:val="Fuentedeprrafopredeter"/>
  </w:style>
  <w:style w:type="paragraph" w:styleId="Textodeglobo">
    <w:name w:val="Balloon Text"/>
    <w:basedOn w:val="Normal"/>
    <w:semiHidden/>
    <w:rPr>
      <w:rFonts w:ascii="Arial" w:eastAsia="MS Gothic" w:hAnsi="Arial"/>
      <w:sz w:val="18"/>
      <w:szCs w:val="18"/>
    </w:rPr>
  </w:style>
  <w:style w:type="character" w:styleId="Refdecomentario">
    <w:name w:val="annotation reference"/>
    <w:semiHidden/>
    <w:rPr>
      <w:sz w:val="18"/>
      <w:szCs w:val="18"/>
    </w:rPr>
  </w:style>
  <w:style w:type="paragraph" w:styleId="Textocomentario">
    <w:name w:val="annotation text"/>
    <w:basedOn w:val="Normal"/>
    <w:semiHidden/>
    <w:pPr>
      <w:jc w:val="left"/>
    </w:pPr>
  </w:style>
  <w:style w:type="paragraph" w:styleId="Asuntodelcomentario">
    <w:name w:val="annotation subject"/>
    <w:basedOn w:val="Textocomentario"/>
    <w:next w:val="Textocomentario"/>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Hipervnculo">
    <w:name w:val="Hyperlink"/>
    <w:rsid w:val="00F963DD"/>
    <w:rPr>
      <w:color w:val="0000FF"/>
      <w:u w:val="single"/>
    </w:rPr>
  </w:style>
  <w:style w:type="character" w:customStyle="1" w:styleId="EncabezadoCar">
    <w:name w:val="Encabezado Car"/>
    <w:link w:val="Encabezado"/>
    <w:uiPriority w:val="99"/>
    <w:rsid w:val="00DD5F5D"/>
    <w:rPr>
      <w:kern w:val="2"/>
      <w:sz w:val="21"/>
      <w:szCs w:val="24"/>
    </w:rPr>
  </w:style>
  <w:style w:type="table" w:styleId="Tablaconcuadrcula">
    <w:name w:val="Table Grid"/>
    <w:basedOn w:val="Tablanormal"/>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4F5F-8D46-4128-839C-7AE8C62A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3220</Characters>
  <Application>Microsoft Office Word</Application>
  <DocSecurity>0</DocSecurity>
  <Lines>26</Lines>
  <Paragraphs>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Jorge Mauricio Cubero Sesin</cp:lastModifiedBy>
  <cp:revision>5</cp:revision>
  <cp:lastPrinted>2023-04-26T09:24:00Z</cp:lastPrinted>
  <dcterms:created xsi:type="dcterms:W3CDTF">2024-06-05T11:31:00Z</dcterms:created>
  <dcterms:modified xsi:type="dcterms:W3CDTF">2024-06-05T11:37:00Z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bfe16bc2fa01b85a4f07a303e86f6f5e01e51910217ece0fb572ec0bde8ee928</vt:lpwstr>
  </property>
</Properties>
</file>